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lotextu"/>
        <w:spacing w:before="6" w:after="0"/>
        <w:jc w:val="right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br/>
      </w:r>
      <w:r>
        <w:rPr>
          <w:rFonts w:cs="Arial" w:ascii="SansationUN" w:hAnsi="SansationUN"/>
          <w:sz w:val="22"/>
          <w:szCs w:val="22"/>
        </w:rPr>
        <w:t>Ver.1 dat. 1.</w:t>
      </w:r>
      <w:r>
        <w:rPr>
          <w:rFonts w:cs="Arial" w:ascii="SansationUN" w:hAnsi="SansationUN"/>
          <w:sz w:val="22"/>
          <w:szCs w:val="22"/>
        </w:rPr>
        <w:t>4</w:t>
      </w:r>
      <w:r>
        <w:rPr>
          <w:rFonts w:cs="Arial" w:ascii="SansationUN" w:hAnsi="SansationUN"/>
          <w:sz w:val="22"/>
          <w:szCs w:val="22"/>
        </w:rPr>
        <w:t>.2022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Příloha č. 1c</w:t>
      </w:r>
      <w:bookmarkStart w:id="0" w:name="_GoBack"/>
      <w:bookmarkEnd w:id="0"/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br/>
        <w:t xml:space="preserve">  </w:t>
        <w:br/>
        <w:t>Virtuální zpřístupnění účastnického vedení (VULA). Technická specifikace a specifikace služby</w:t>
        <w:br/>
        <w:br/>
        <w:tab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t xml:space="preserve">Číslo Služby :        </w:t>
        <w:tab/>
        <w:t xml:space="preserve"> </w:t>
        <w:tab/>
        <w:tab/>
        <w:tab/>
        <w:tab/>
        <w:t>.……………...................</w:t>
        <w:br/>
        <w:br/>
        <w:t>Obec (oblast) :</w:t>
        <w:tab/>
        <w:tab/>
        <w:tab/>
        <w:tab/>
        <w:tab/>
        <w:tab/>
        <w:t>.………………………….</w:t>
        <w:br/>
        <w:br/>
        <w:t xml:space="preserve">Jméno partnera :    </w:t>
        <w:tab/>
        <w:tab/>
        <w:tab/>
        <w:tab/>
        <w:tab/>
        <w:t>..………………………….</w:t>
        <w:br/>
        <w:br/>
        <w:t xml:space="preserve">ID: Partnera : </w:t>
        <w:tab/>
        <w:tab/>
        <w:t xml:space="preserve">           </w:t>
        <w:tab/>
        <w:tab/>
        <w:tab/>
        <w:tab/>
        <w:t>..….……………………….</w:t>
        <w:br/>
        <w:br/>
        <w:t>Datum žádosti:</w:t>
        <w:tab/>
        <w:tab/>
        <w:tab/>
        <w:tab/>
        <w:tab/>
        <w:tab/>
        <w:t>……………………………</w:t>
        <w:br/>
        <w:br/>
        <w:t>Datum zahájení šetření:</w:t>
        <w:tab/>
        <w:tab/>
        <w:tab/>
        <w:tab/>
        <w:t>……………………………</w:t>
        <w:br/>
        <w:br/>
        <w:t>Datum zahájení implementace služby :</w:t>
        <w:tab/>
        <w:tab/>
        <w:t>……………………………</w:t>
        <w:br/>
        <w:br/>
        <w:t>Datum zprovoznění služby :</w:t>
        <w:tab/>
        <w:tab/>
        <w:tab/>
        <w:tab/>
        <w:t>……………………………</w:t>
        <w:br/>
        <w:br/>
        <w:t>Datum zahájení testovacího provozu:</w:t>
        <w:tab/>
        <w:tab/>
        <w:tab/>
        <w:t>……………………………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Datum zakončení testovacího provozu:</w:t>
        <w:tab/>
        <w:tab/>
        <w:t>……………………………</w:t>
        <w:br/>
        <w:br/>
        <w:t>Datum předání Služby Partnerovi:</w:t>
        <w:tab/>
        <w:tab/>
        <w:tab/>
        <w:t>….…………………………</w:t>
        <w:br/>
        <w:br/>
        <w:t>Datum ukončení Služby:                                             …………………………….</w:t>
        <w:br/>
        <w:br/>
        <w:br/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 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I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sz w:val="22"/>
          <w:szCs w:val="22"/>
        </w:rPr>
        <w:t>Služba  virtuální zpřístupnění účastnického vedení (VULA)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 xml:space="preserve">United Networks SE (dále UN)  prohlašuje, že je vlastníkem nebo oprávněným uživatelem účastnického vedení tvořících trasy, které si pronajímá pronajmout Partner v rámci Smlouvy, a které jsou specifikovány v této Příloze. </w:t>
        <w:br/>
        <w:br/>
        <w:t xml:space="preserve">Zpřístupněním virtuálního účastnického vedení se rozumí </w:t>
      </w:r>
      <w:r>
        <w:rPr>
          <w:rFonts w:ascii="SansationUN" w:hAnsi="SansationUN"/>
        </w:rPr>
        <w:t xml:space="preserve">využití vyhrazené kapacity vedení mezi přístupovým bodem v technologickém uzlu sítě UN a koncovým bodem přístupové sítě v místě určeném Partnerem za účelem poskytování služeb elektronických komunikací v Dotované síti. </w:t>
      </w:r>
      <w:r>
        <w:rPr>
          <w:rStyle w:val="Gmailnotranslate"/>
          <w:rFonts w:cs="Arial" w:ascii="SansationUN" w:hAnsi="SansationUN"/>
          <w:sz w:val="22"/>
          <w:szCs w:val="22"/>
        </w:rPr>
        <w:t>UN. tímto uděluje Partnerovi výlučné a za podmínek stanovených Smlouvou právo užívání k VULA  specifikovaného v této příloze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br/>
        <w:t xml:space="preserve">Přístupový bod v technologickém uzlu sítě UN umožňuje připojení k účastnickým portům nebo ekvivalentním zařízením.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 xml:space="preserve">Přístupový bod se nachází v místě hlavního rozvodu anebo ekvivalentního zařízení (Central Office) UN.  Rozhraní v prostorech Zákazníka umožní připojit volně dostupné koncové zařízení splňující definovanou technickou specifikaci pro dané rozhraní bez dalších dodatečných požadavků na specifickou konfiguraci síťových parametrů pro poskytnutí služby účastníkovi Partnera.  Informace o použitém rozhraní je uvedeno v této příloze Článek VIII 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Datový provoz uživatelů je předáván ze sítě UN sítě Partnera na úrovni Ethernet bez řízené agregace pomocí VLAN (IEEE 802.1Q). V případě použití NGPON2 technologie může být přístup do sítě UN umožněn zpřístupněním dedikované vlnové délky (WDM).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ascii="SansationUN" w:hAnsi="SansationUN"/>
        </w:rPr>
        <w:br/>
      </w:r>
      <w:r>
        <w:rPr>
          <w:rStyle w:val="Gmailnotranslate"/>
          <w:rFonts w:cs="Arial" w:ascii="SansationUN" w:hAnsi="SansationUN"/>
          <w:b/>
          <w:sz w:val="22"/>
          <w:szCs w:val="22"/>
        </w:rPr>
        <w:t>Článek II</w:t>
        <w:br/>
        <w:t>Přístup k VULA</w:t>
      </w:r>
      <w:r>
        <w:rPr>
          <w:rStyle w:val="Gmailnotranslate"/>
          <w:rFonts w:cs="Arial" w:ascii="SansationUN" w:hAnsi="SansationUN"/>
          <w:sz w:val="22"/>
          <w:szCs w:val="22"/>
        </w:rPr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Přístup je realizován v bodech k tomu určených (např. Central Office, POP, rozvaděče,) s ohledem na strukturu sítě tak, aby nedocházelo k jejímu znehodnocení pro budoucí využití.  Seznam přístupových bodů  pro Službu uvedenou v této příloze je uvedený v Článku VIII a Příloze 10 - Síťová hierarchie, Orientační schéma, seznam obcí, úseků.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III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Fonts w:cs="Arial" w:ascii="SansationUN" w:hAnsi="SansationUN"/>
          <w:b/>
          <w:sz w:val="22"/>
          <w:szCs w:val="22"/>
        </w:rPr>
        <w:t>Převzetí VULA</w:t>
      </w:r>
      <w:r>
        <w:rPr>
          <w:rStyle w:val="Gmailnotranslate"/>
          <w:rFonts w:cs="Arial" w:ascii="SansationUN" w:hAnsi="SansationUN"/>
          <w:b/>
          <w:sz w:val="22"/>
          <w:szCs w:val="22"/>
        </w:rPr>
        <w:t xml:space="preserve"> </w:t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jc w:val="both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Partner se zavazuje, že ve lhůtách stanovených Smlouvou a touto přílohou  převezme účastnické vedení nebo jeho úsek. Podpisem této přílohy Partner potvrzuje UN, že převzal</w:t>
      </w:r>
      <w:r>
        <w:rPr>
          <w:rFonts w:ascii="SansationUN" w:hAnsi="SansationUN"/>
        </w:rPr>
        <w:t xml:space="preserve"> </w:t>
      </w:r>
      <w:r>
        <w:rPr>
          <w:rStyle w:val="Gmailnotranslate"/>
          <w:rFonts w:cs="Arial" w:ascii="SansationUN" w:hAnsi="SansationUN"/>
          <w:sz w:val="22"/>
          <w:szCs w:val="22"/>
        </w:rPr>
        <w:t xml:space="preserve">účastnické vedení a jeho úsek v řádném provozuschopném stavu a bez závad. </w:t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br/>
        <w:br/>
        <w:t>Článek IV</w:t>
        <w:br/>
        <w:t xml:space="preserve">Užívání VULA 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Partner může  účastnického vedení nebo jeho úsek užívat pouze pro účely související s jeho obchodní činností v souladu s uzavřenou  Smlouvou.</w:t>
        <w:br/>
      </w:r>
    </w:p>
    <w:p>
      <w:pPr>
        <w:pStyle w:val="ListParagraph"/>
        <w:widowControl w:val="false"/>
        <w:tabs>
          <w:tab w:val="clear" w:pos="709"/>
          <w:tab w:val="left" w:pos="254" w:leader="none"/>
        </w:tabs>
        <w:spacing w:lineRule="auto" w:line="307" w:before="63" w:after="0"/>
        <w:ind w:left="135" w:right="227" w:hanging="0"/>
        <w:contextualSpacing w:val="false"/>
        <w:jc w:val="center"/>
        <w:rPr>
          <w:rFonts w:ascii="SansationUN" w:hAnsi="SansationUN"/>
        </w:rPr>
      </w:pPr>
      <w:r>
        <w:rPr>
          <w:rFonts w:cs="Arial" w:ascii="SansationUN" w:hAnsi="SansationUN"/>
          <w:b/>
          <w:sz w:val="22"/>
          <w:szCs w:val="22"/>
        </w:rPr>
        <w:t>Článek V</w:t>
        <w:br/>
        <w:t>Ostatní závazky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UN se zavazuje, že pokud to bude možné, poskytne Partnerovi v přiměřeném rozsahu  virtuální účastnické vedení, účastnické vedení, optické vlákno/vlákna, HDPE trubičky (mikrotrubičky) a HDPE trubky na nedotované infrastruktuře, nejméně však z dotované oblasti do prvního hierarchického bodu infrastruktury  (např. Central office anebo PoP). V případě, že je dostupná poslední volná (HDPE) trubička, UN pronajme pouze optické vlákno, pokud bude k dispozici.</w:t>
        <w:br/>
      </w:r>
    </w:p>
    <w:p>
      <w:pPr>
        <w:pStyle w:val="ListParagraph"/>
        <w:widowControl w:val="false"/>
        <w:numPr>
          <w:ilvl w:val="0"/>
          <w:numId w:val="2"/>
        </w:numPr>
        <w:spacing w:lineRule="auto" w:line="307" w:before="63" w:after="0"/>
        <w:ind w:left="360" w:right="227" w:hanging="360"/>
        <w:contextualSpacing w:val="false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UN se zavazuje, v případě věží a stožárů zřízených s využitím poskytnuté dotace  umístit svá zařízení (přijímače, vysílače , antény a další infrastrukturu)   efektivně s ohledem na potřebu poskytnutí možnosti využití další plochy k pronájmu zařízení Partnera a nebude umístění zařízení Partnere účelově bránit.</w:t>
        <w:br/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307" w:before="63" w:after="0"/>
        <w:ind w:left="360" w:right="613" w:hanging="360"/>
        <w:contextualSpacing w:val="false"/>
        <w:rPr/>
      </w:pPr>
      <w:r>
        <w:rPr>
          <w:rFonts w:cs="Arial" w:ascii="SansationUN" w:hAnsi="SansationUN"/>
          <w:sz w:val="22"/>
          <w:szCs w:val="22"/>
        </w:rPr>
        <w:t xml:space="preserve">UN se zavazuje </w:t>
      </w:r>
      <w:r>
        <w:rPr>
          <w:rFonts w:ascii="SansationUN" w:hAnsi="SansationUN"/>
        </w:rPr>
        <w:t xml:space="preserve">umožnit Partnerovi, že přístup VULA bude mít srovnatelné vlastnosti jako fyzické zpřístupnění účastnického vedení pro poskytování širokopásmových služeb. </w:t>
      </w:r>
      <w:r>
        <w:rPr>
          <w:rStyle w:val="Gmailnotranslate"/>
          <w:rFonts w:cs="Arial" w:ascii="SansationUN" w:hAnsi="SansationUN"/>
          <w:sz w:val="22"/>
          <w:szCs w:val="22"/>
        </w:rPr>
        <w:t>Služba VULA bude nabízet rychlostní profil, který odpovídá požadavkům na kapacitu sítě pro přidělení dotace anebo vyšší v případě, že je nabízen pro vlastní služby UN. Pro využití služby VULA UN poskytne v nezbytném rozsahu rovněž související službu kolokace.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/>
        </w:rPr>
      </w:pPr>
      <w:r>
        <w:rPr>
          <w:rFonts w:ascii="SansationUN" w:hAnsi="SansationUN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VI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Údržba VULA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307" w:before="63" w:after="0"/>
        <w:ind w:left="360" w:right="613" w:hanging="360"/>
        <w:contextualSpacing w:val="false"/>
        <w:rPr/>
      </w:pPr>
      <w:r>
        <w:rPr>
          <w:rStyle w:val="Gmailnotranslate"/>
          <w:rFonts w:cs="Arial" w:ascii="SansationUN" w:hAnsi="SansationUN"/>
          <w:sz w:val="22"/>
          <w:szCs w:val="22"/>
        </w:rPr>
        <w:t>UN bude od předání VULA na vlastní náklady údržbu tak, aby VULA po celou dobu užívání byla plně funkční a odpovídala Specifikacím.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307" w:before="63" w:after="0"/>
        <w:ind w:left="360" w:right="613" w:hanging="360"/>
        <w:contextualSpacing w:val="false"/>
        <w:rPr/>
      </w:pPr>
      <w:r>
        <w:rPr>
          <w:rStyle w:val="Gmailnotranslate"/>
          <w:rFonts w:cs="Arial" w:ascii="SansationUN" w:hAnsi="SansationUN"/>
          <w:sz w:val="22"/>
          <w:szCs w:val="22"/>
        </w:rPr>
        <w:t xml:space="preserve">UN se zavazuje udržovat dotovanou síť ve stavu umožňujícím nepřetržitý provoz VULA, tj. 24 hodin denně, 7 dnů v týdnu. Servisní zásahy se řídí Smlouvou a přílohou </w:t>
      </w:r>
    </w:p>
    <w:p>
      <w:pPr>
        <w:pStyle w:val="Normal"/>
        <w:tabs>
          <w:tab w:val="clear" w:pos="709"/>
          <w:tab w:val="left" w:pos="284" w:leader="none"/>
        </w:tabs>
        <w:ind w:left="567" w:right="613" w:hanging="0"/>
        <w:jc w:val="both"/>
        <w:rPr>
          <w:rFonts w:ascii="SansationUN" w:hAnsi="SansationUN" w:cs="Arial"/>
          <w:sz w:val="22"/>
          <w:szCs w:val="22"/>
        </w:rPr>
      </w:pPr>
      <w:r>
        <w:rPr>
          <w:rFonts w:cs="Arial" w:ascii="SansationUN" w:hAnsi="SansationUN"/>
          <w:sz w:val="22"/>
          <w:szCs w:val="22"/>
        </w:rPr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br/>
        <w:t>Článek VII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Kvalita</w:t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>
          <w:rFonts w:ascii="SansationUN" w:hAnsi="SansationUN" w:cs="Arial"/>
          <w:b/>
          <w:b/>
          <w:bCs/>
          <w:sz w:val="22"/>
          <w:szCs w:val="22"/>
        </w:rPr>
      </w:pPr>
      <w:r>
        <w:rPr>
          <w:rFonts w:cs="Arial" w:ascii="SansationUN" w:hAnsi="SansationUN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t xml:space="preserve">United Networks SE je povinen dodržet parametry kvality Pasivní infrastruktury tak, jak je popsáno v Příloze č. 4 - </w:t>
      </w:r>
      <w:r>
        <w:rPr>
          <w:rFonts w:cs="Arial" w:ascii="SansationUN" w:hAnsi="SansationUN"/>
          <w:sz w:val="22"/>
          <w:szCs w:val="22"/>
        </w:rPr>
        <w:t>Minimální soubor SLA</w:t>
      </w:r>
      <w:r>
        <w:rPr>
          <w:rStyle w:val="OdstavecseseznamemChar"/>
          <w:rFonts w:cs="Arial" w:ascii="SansationUN" w:hAnsi="SansationUN"/>
          <w:sz w:val="22"/>
          <w:szCs w:val="22"/>
        </w:rPr>
        <w:t xml:space="preserve">  Smlouvy  </w:t>
        <w:br/>
      </w:r>
    </w:p>
    <w:p>
      <w:pPr>
        <w:pStyle w:val="NormalWeb"/>
        <w:tabs>
          <w:tab w:val="clear" w:pos="709"/>
          <w:tab w:val="left" w:pos="284" w:leader="none"/>
        </w:tabs>
        <w:spacing w:beforeAutospacing="0" w:before="0" w:afterAutospacing="0" w:after="0"/>
        <w:ind w:left="567" w:right="613" w:hanging="0"/>
        <w:jc w:val="center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br/>
        <w:t xml:space="preserve">  </w:t>
      </w:r>
      <w:r>
        <w:rPr>
          <w:rStyle w:val="Gmailnotranslate"/>
          <w:rFonts w:cs="Arial" w:ascii="SansationUN" w:hAnsi="SansationUN"/>
          <w:b/>
          <w:bCs/>
          <w:sz w:val="22"/>
          <w:szCs w:val="22"/>
        </w:rPr>
        <w:t>Článek VIII</w:t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/>
      </w:pPr>
      <w:r>
        <w:rPr>
          <w:rStyle w:val="OdstavecseseznamemChar"/>
          <w:rFonts w:cs="Arial" w:ascii="SansationUN" w:hAnsi="SansationUN"/>
          <w:sz w:val="22"/>
          <w:szCs w:val="22"/>
        </w:rPr>
        <w:br/>
      </w:r>
    </w:p>
    <w:p>
      <w:pPr>
        <w:pStyle w:val="ListParagraph"/>
        <w:numPr>
          <w:ilvl w:val="0"/>
          <w:numId w:val="4"/>
        </w:numPr>
        <w:ind w:left="360" w:right="613" w:hanging="360"/>
        <w:rPr/>
      </w:pPr>
      <w:r>
        <w:rPr>
          <w:rFonts w:cs="Arial" w:ascii="SansationUN" w:hAnsi="SansationUN"/>
          <w:sz w:val="22"/>
          <w:szCs w:val="22"/>
        </w:rPr>
        <w:t xml:space="preserve">Přesné </w:t>
      </w:r>
      <w:r>
        <w:rPr>
          <w:rStyle w:val="Gmailnotranslate"/>
          <w:rFonts w:ascii="SansationUN" w:hAnsi="SansationUN"/>
        </w:rPr>
        <w:t>umístění</w:t>
      </w:r>
      <w:r>
        <w:rPr>
          <w:rFonts w:cs="Arial" w:ascii="SansationUN" w:hAnsi="SansationUN"/>
          <w:sz w:val="22"/>
          <w:szCs w:val="22"/>
        </w:rPr>
        <w:t xml:space="preserve"> přístupových bodů </w:t>
        <w:br/>
        <w:br/>
        <w:t>GPS :      ……………………………………..................................</w:t>
      </w:r>
    </w:p>
    <w:p>
      <w:pPr>
        <w:pStyle w:val="ListParagraph"/>
        <w:tabs>
          <w:tab w:val="clear" w:pos="709"/>
          <w:tab w:val="left" w:pos="284" w:leader="none"/>
        </w:tabs>
        <w:ind w:left="720"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t>Adresa :  ……………………………………………………………..</w:t>
        <w:br/>
        <w:t xml:space="preserve">          </w:t>
        <w:br/>
        <w:t xml:space="preserve">                 ……………………………………………………………..</w:t>
        <w:br/>
        <w:br/>
        <w:t xml:space="preserve">               …………………………………………............................</w:t>
        <w:br/>
        <w:br/>
        <w:t xml:space="preserve">               ……………………………………………………………..</w:t>
        <w:br/>
        <w:t xml:space="preserve"> </w:t>
        <w:br/>
        <w:t xml:space="preserve">               ……………………………………………………………..</w:t>
        <w:br/>
        <w:br/>
        <w:t xml:space="preserve">               ………………………………………………………….....</w:t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Technické podmínky přístupu, specifikace zařízení a rozhraní</w:t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Síťová hierarchie přístupu</w:t>
        <w:br/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 xml:space="preserve"> </w:t>
      </w:r>
      <w:r>
        <w:rPr>
          <w:rFonts w:cs="Arial" w:ascii="SansationUN" w:hAnsi="SansationUN"/>
          <w:sz w:val="22"/>
          <w:szCs w:val="22"/>
        </w:rPr>
        <w:t>Podmínky  společného umisťování (kolokace)</w:t>
        <w:br/>
        <w:br/>
        <w:br/>
        <w:br/>
        <w:br/>
        <w:br/>
        <w:br/>
        <w:br/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284" w:leader="none"/>
        </w:tabs>
        <w:ind w:left="360" w:right="613" w:hanging="36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t>Zakreslená datová trasa :</w:t>
        <w:br/>
        <w:br/>
        <w:br/>
        <w:br/>
        <w:br/>
        <w:br/>
      </w:r>
    </w:p>
    <w:p>
      <w:pPr>
        <w:pStyle w:val="Normal"/>
        <w:tabs>
          <w:tab w:val="clear" w:pos="709"/>
          <w:tab w:val="left" w:pos="284" w:leader="none"/>
        </w:tabs>
        <w:ind w:right="613" w:hanging="0"/>
        <w:rPr>
          <w:rFonts w:ascii="SansationUN" w:hAnsi="SansationUN"/>
        </w:rPr>
      </w:pPr>
      <w:r>
        <w:rPr>
          <w:rFonts w:cs="Arial" w:ascii="SansationUN" w:hAnsi="SansationUN"/>
          <w:sz w:val="22"/>
          <w:szCs w:val="22"/>
        </w:rPr>
        <w:br/>
        <w:br/>
        <w:br/>
        <w:br/>
        <w:br/>
        <w:t>za United Networks SE</w:t>
        <w:tab/>
        <w:tab/>
        <w:tab/>
        <w:tab/>
        <w:t xml:space="preserve"> </w:t>
        <w:tab/>
        <w:t>za Partnera :</w:t>
        <w:b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ansationUN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70253305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4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60224580"/>
    </w:sdtPr>
    <w:sdtContent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  <w:fldChar w:fldCharType="begin"/>
        </w:r>
        <w:r>
          <w:rPr>
            <w:sz w:val="16"/>
            <w:szCs w:val="16"/>
            <w:rFonts w:ascii="Bookman Old Style" w:hAnsi="Bookman Old Style"/>
          </w:rPr>
          <w:instrText xml:space="preserve"> PAGE </w:instrText>
        </w:r>
        <w:r>
          <w:rPr>
            <w:sz w:val="16"/>
            <w:szCs w:val="16"/>
            <w:rFonts w:ascii="Bookman Old Style" w:hAnsi="Bookman Old Style"/>
          </w:rPr>
          <w:fldChar w:fldCharType="separate"/>
        </w:r>
        <w:r>
          <w:rPr>
            <w:sz w:val="16"/>
            <w:szCs w:val="16"/>
            <w:rFonts w:ascii="Bookman Old Style" w:hAnsi="Bookman Old Style"/>
          </w:rPr>
          <w:t>4</w:t>
        </w:r>
        <w:r>
          <w:rPr>
            <w:sz w:val="16"/>
            <w:szCs w:val="16"/>
            <w:rFonts w:ascii="Bookman Old Style" w:hAnsi="Bookman Old Style"/>
          </w:rPr>
          <w:fldChar w:fldCharType="end"/>
        </w:r>
      </w:p>
      <w:p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  <w:r>
          <w:rPr>
            <w:rFonts w:ascii="Bookman Old Style" w:hAnsi="Bookman Old Style"/>
            <w:sz w:val="16"/>
            <w:szCs w:val="16"/>
          </w:rPr>
        </w:r>
      </w:p>
    </w:sdtContent>
  </w:sdt>
  <w:p>
    <w:pPr>
      <w:pStyle w:val="Zpat"/>
      <w:rPr/>
    </w:pPr>
    <w:r>
      <w:rPr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pict>
        <v:shapetype id="_x0000_t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14853032" o:spid="shape_0" fillcolor="silver" stroked="f" o:allowincell="f" style="position:absolute;margin-left:10.2pt;margin-top:263.3pt;width:456.7pt;height:203.5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Návrh" trim="t" style="font-family:&quot;Times New Roman&quot;;font-size:1p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>Příloha č. 1c - Virtuální zpřístupnění účastnického vedení (VULA). Technická specifikace a specifikace služby.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tabs>
        <w:tab w:val="clear" w:pos="709"/>
        <w:tab w:val="left" w:pos="284" w:leader="none"/>
      </w:tabs>
      <w:spacing w:beforeAutospacing="0" w:before="0" w:afterAutospacing="0" w:after="0"/>
      <w:rPr>
        <w:rFonts w:ascii="SansationUN" w:hAnsi="SansationUN"/>
      </w:rPr>
    </w:pPr>
    <w:r>
      <w:rPr>
        <w:rFonts w:ascii="SansationUN" w:hAnsi="SansationUN"/>
        <w:sz w:val="16"/>
        <w:szCs w:val="16"/>
      </w:rPr>
      <w:t>Příloha č. 1c - Virtuální zpřístupnění účastnického vedení (VULA). Technická specifikace a specifikace služby.</w:t>
    </w:r>
  </w:p>
  <w:p>
    <w:pPr>
      <w:pStyle w:val="Zhlav"/>
      <w:rPr>
        <w:rFonts w:ascii="SansationUN" w:hAnsi="SansationUN"/>
      </w:rPr>
    </w:pPr>
    <w:r>
      <w:rPr>
        <w:rFonts w:ascii="SansationUN" w:hAnsi="SansationUN"/>
      </w:rPr>
    </w:r>
  </w:p>
  <w:p>
    <w:pPr>
      <w:pStyle w:val="Normal"/>
      <w:rPr>
        <w:rFonts w:ascii="SansationUN" w:hAnsi="SansationUN"/>
      </w:rPr>
    </w:pPr>
    <w:r>
      <w:rPr>
        <w:rFonts w:ascii="SansationUN" w:hAnsi="SansationU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caps/>
        <w:dstrike w:val="false"/>
        <w:strike w:val="false"/>
        <w:vertAlign w:val="baseline"/>
        <w:position w:val="0"/>
        <w:sz w:val="28"/>
        <w:sz w:val="28"/>
        <w:i w:val="false"/>
        <w:b/>
        <w:szCs w:val="28"/>
        <w:vanish w:val="false"/>
        <w:rFonts w:ascii="Arial" w:hAnsi="Arial" w:cs="Arial"/>
        <w:color w:val="7030A0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709" w:hanging="709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b w:val="false"/>
        <w:rFonts w:ascii="Arial" w:hAnsi="Arial" w:cs="Arial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/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/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174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cs-CZ" w:eastAsia="cs-CZ" w:bidi="ar-SA"/>
    </w:rPr>
  </w:style>
  <w:style w:type="paragraph" w:styleId="Nadpis9">
    <w:name w:val="Heading 9"/>
    <w:basedOn w:val="Normal"/>
    <w:link w:val="Nadpis9Char"/>
    <w:uiPriority w:val="1"/>
    <w:qFormat/>
    <w:rsid w:val="00406106"/>
    <w:pPr>
      <w:widowControl w:val="false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9016e3"/>
    <w:rPr>
      <w:color w:val="0000FF"/>
      <w:u w:val="single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9016e3"/>
    <w:rPr>
      <w:color w:val="800080"/>
      <w:u w:val="single"/>
    </w:rPr>
  </w:style>
  <w:style w:type="character" w:styleId="Gmailnotranslate" w:customStyle="1">
    <w:name w:val="gmail-notranslate"/>
    <w:basedOn w:val="DefaultParagraphFont"/>
    <w:qFormat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/>
    <w:rsid w:val="00072472"/>
    <w:rPr>
      <w:rFonts w:ascii="Arial" w:hAnsi="Arial" w:eastAsia="Times New Roman" w:cs="Times New Roman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/>
    <w:rsid w:val="00072472"/>
    <w:rPr>
      <w:rFonts w:ascii="Arial" w:hAnsi="Arial" w:eastAsia="Times New Roman" w:cs="Times New Roman"/>
      <w:b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504a56"/>
    <w:rPr>
      <w:rFonts w:ascii="Times New Roman" w:hAnsi="Times New Roman" w:cs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504a56"/>
    <w:rPr>
      <w:rFonts w:ascii="Segoe UI" w:hAnsi="Segoe UI" w:cs="Segoe UI"/>
      <w:sz w:val="18"/>
      <w:szCs w:val="18"/>
      <w:lang w:eastAsia="cs-CZ"/>
    </w:rPr>
  </w:style>
  <w:style w:type="character" w:styleId="Ra" w:customStyle="1">
    <w:name w:val="ra"/>
    <w:basedOn w:val="DefaultParagraphFont"/>
    <w:qFormat/>
    <w:rsid w:val="001810b5"/>
    <w:rPr/>
  </w:style>
  <w:style w:type="character" w:styleId="ZhlavChar" w:customStyle="1">
    <w:name w:val="Záhlav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63414f"/>
    <w:rPr>
      <w:rFonts w:ascii="Times New Roman" w:hAnsi="Times New Roman" w:cs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/>
    <w:rsid w:val="00e2124e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/>
    <w:rsid w:val="00406106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1"/>
    <w:qFormat/>
    <w:rsid w:val="00e2124e"/>
    <w:pPr>
      <w:widowControl w:val="false"/>
    </w:pPr>
    <w:rPr>
      <w:rFonts w:eastAsia="Times New Roman"/>
      <w:lang w:val="en-US" w:eastAsia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016e3"/>
    <w:pPr>
      <w:spacing w:beforeAutospacing="1" w:afterAutospacing="1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3467be"/>
    <w:pPr>
      <w:spacing w:before="0" w:after="0"/>
      <w:ind w:left="720" w:hanging="0"/>
      <w:contextualSpacing/>
    </w:pPr>
    <w:rPr/>
  </w:style>
  <w:style w:type="paragraph" w:styleId="CETINTextlnku" w:customStyle="1">
    <w:name w:val="CETIN Text článku"/>
    <w:basedOn w:val="Normal"/>
    <w:link w:val="CETINTextlnkuChar"/>
    <w:qFormat/>
    <w:rsid w:val="00072472"/>
    <w:pPr>
      <w:numPr>
        <w:ilvl w:val="1"/>
        <w:numId w:val="1"/>
      </w:numPr>
      <w:spacing w:before="0" w:after="120"/>
      <w:jc w:val="both"/>
      <w:outlineLvl w:val="0"/>
    </w:pPr>
    <w:rPr>
      <w:rFonts w:ascii="Arial" w:hAnsi="Arial" w:eastAsia="Times New Roman"/>
      <w:sz w:val="22"/>
    </w:rPr>
  </w:style>
  <w:style w:type="paragraph" w:styleId="CETINNadpis" w:customStyle="1">
    <w:name w:val="CETIN Nadpis"/>
    <w:basedOn w:val="Obsah1"/>
    <w:link w:val="CETINNadpisChar"/>
    <w:qFormat/>
    <w:rsid w:val="00072472"/>
    <w:pPr>
      <w:keepNext w:val="true"/>
      <w:numPr>
        <w:ilvl w:val="0"/>
        <w:numId w:val="1"/>
      </w:numPr>
      <w:tabs>
        <w:tab w:val="clear" w:pos="709"/>
        <w:tab w:val="left" w:pos="4188" w:leader="none"/>
      </w:tabs>
      <w:suppressAutoHyphens w:val="true"/>
      <w:spacing w:lineRule="auto" w:line="319" w:before="240" w:after="120"/>
      <w:ind w:left="4188" w:hanging="360"/>
      <w:jc w:val="both"/>
      <w:outlineLvl w:val="0"/>
    </w:pPr>
    <w:rPr>
      <w:rFonts w:ascii="Arial" w:hAnsi="Arial" w:eastAsia="Times New Roman"/>
      <w:b/>
      <w:color w:val="7030A0"/>
      <w:kern w:val="2"/>
      <w:sz w:val="28"/>
      <w:lang w:eastAsia="en-US"/>
    </w:rPr>
  </w:style>
  <w:style w:type="paragraph" w:styleId="Obsah1">
    <w:name w:val="TOC 1"/>
    <w:basedOn w:val="Normal"/>
    <w:next w:val="Normal"/>
    <w:autoRedefine/>
    <w:uiPriority w:val="39"/>
    <w:semiHidden/>
    <w:unhideWhenUsed/>
    <w:rsid w:val="00072472"/>
    <w:pPr>
      <w:spacing w:before="0" w:after="10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504a56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504a56"/>
    <w:pPr/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63414f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12002c"/>
    <w:pPr>
      <w:widowControl w:val="false"/>
    </w:pPr>
    <w:rPr>
      <w:rFonts w:eastAsia="Times New Roman"/>
      <w:sz w:val="22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9609D6-C9FF-4F2D-8232-FEB78CC6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Application>LibreOffice/7.3.2.2$Windows_X86_64 LibreOffice_project/49f2b1bff42cfccbd8f788c8dc32c1c309559be0</Application>
  <AppVersion>15.0000</AppVersion>
  <Pages>4</Pages>
  <Words>724</Words>
  <Characters>4572</Characters>
  <CharactersWithSpaces>5566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2022-03-17T18:10:00Z</dcterms:created>
  <dc:creator/>
  <dc:description/>
  <dc:language>cs-CZ</dc:language>
  <cp:lastModifiedBy/>
  <dcterms:modified xsi:type="dcterms:W3CDTF">2022-05-18T10:46:40Z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